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12A" w:rsidRDefault="00AC6FCB" w:rsidP="00E01FEB">
      <w:pPr>
        <w:spacing w:beforeLines="50" w:before="120" w:after="200" w:line="480" w:lineRule="auto"/>
        <w:jc w:val="center"/>
        <w:rPr>
          <w:b/>
          <w:sz w:val="24"/>
          <w:szCs w:val="24"/>
        </w:rPr>
      </w:pPr>
      <w:r>
        <w:rPr>
          <w:b/>
          <w:sz w:val="24"/>
          <w:szCs w:val="24"/>
        </w:rPr>
        <w:t>This and Does/Is, Question Game</w:t>
      </w:r>
      <w:bookmarkStart w:id="0" w:name="_GoBack"/>
      <w:bookmarkEnd w:id="0"/>
    </w:p>
    <w:p w:rsidR="0001712A" w:rsidRDefault="00AC6FCB">
      <w:pPr>
        <w:spacing w:after="200"/>
        <w:rPr>
          <w:sz w:val="24"/>
          <w:szCs w:val="24"/>
        </w:rPr>
      </w:pPr>
      <w:r>
        <w:rPr>
          <w:b/>
          <w:sz w:val="24"/>
          <w:szCs w:val="24"/>
        </w:rPr>
        <w:t>Class time needed for lesson:</w:t>
      </w:r>
      <w:r>
        <w:rPr>
          <w:sz w:val="24"/>
          <w:szCs w:val="24"/>
        </w:rPr>
        <w:t xml:space="preserve"> 15-20 minutes</w:t>
      </w:r>
    </w:p>
    <w:p w:rsidR="0001712A" w:rsidRDefault="00AC6FCB">
      <w:pPr>
        <w:spacing w:after="200"/>
        <w:rPr>
          <w:sz w:val="24"/>
          <w:szCs w:val="24"/>
        </w:rPr>
      </w:pPr>
      <w:r>
        <w:rPr>
          <w:b/>
          <w:sz w:val="24"/>
          <w:szCs w:val="24"/>
        </w:rPr>
        <w:t>Class size taught:</w:t>
      </w:r>
      <w:r>
        <w:rPr>
          <w:sz w:val="24"/>
          <w:szCs w:val="24"/>
        </w:rPr>
        <w:t xml:space="preserve"> Any class size</w:t>
      </w:r>
    </w:p>
    <w:p w:rsidR="0001712A" w:rsidRDefault="00AC6FCB">
      <w:pPr>
        <w:spacing w:after="200"/>
        <w:rPr>
          <w:sz w:val="24"/>
          <w:szCs w:val="24"/>
        </w:rPr>
      </w:pPr>
      <w:r>
        <w:rPr>
          <w:b/>
          <w:sz w:val="24"/>
          <w:szCs w:val="24"/>
        </w:rPr>
        <w:t>Target audience:</w:t>
      </w:r>
      <w:r>
        <w:rPr>
          <w:sz w:val="24"/>
          <w:szCs w:val="24"/>
        </w:rPr>
        <w:t xml:space="preserve"> JHS 1st-2nd grade</w:t>
      </w:r>
    </w:p>
    <w:p w:rsidR="0001712A" w:rsidRDefault="00AC6FCB">
      <w:pPr>
        <w:spacing w:after="200"/>
        <w:rPr>
          <w:sz w:val="24"/>
          <w:szCs w:val="24"/>
        </w:rPr>
      </w:pPr>
      <w:r>
        <w:rPr>
          <w:b/>
          <w:sz w:val="24"/>
          <w:szCs w:val="24"/>
        </w:rPr>
        <w:t>Objective:</w:t>
      </w:r>
      <w:r>
        <w:rPr>
          <w:sz w:val="24"/>
          <w:szCs w:val="24"/>
        </w:rPr>
        <w:t xml:space="preserve"> In one class, students will be able to practice and learn the grammatical structures of the phrases “is/does” and “this (person/place/character)...”, and be able to create sentences and questions using these phrases through a quiz game.</w:t>
      </w:r>
    </w:p>
    <w:p w:rsidR="0001712A" w:rsidRPr="00E01FEB" w:rsidRDefault="00281CC5">
      <w:pPr>
        <w:spacing w:after="200"/>
        <w:rPr>
          <w:rFonts w:asciiTheme="majorEastAsia" w:eastAsiaTheme="majorEastAsia" w:hAnsiTheme="majorEastAsia"/>
          <w:b/>
          <w:sz w:val="24"/>
          <w:szCs w:val="24"/>
        </w:rPr>
      </w:pPr>
      <w:sdt>
        <w:sdtPr>
          <w:tag w:val="goog_rdk_0"/>
          <w:id w:val="519283766"/>
        </w:sdtPr>
        <w:sdtEndPr>
          <w:rPr>
            <w:rFonts w:asciiTheme="majorEastAsia" w:eastAsiaTheme="majorEastAsia" w:hAnsiTheme="majorEastAsia"/>
          </w:rPr>
        </w:sdtEndPr>
        <w:sdtContent>
          <w:r w:rsidR="00AC6FCB" w:rsidRPr="00E01FEB">
            <w:rPr>
              <w:rFonts w:asciiTheme="majorEastAsia" w:eastAsiaTheme="majorEastAsia" w:hAnsiTheme="majorEastAsia" w:cs="Arial Unicode MS"/>
              <w:b/>
              <w:sz w:val="24"/>
              <w:szCs w:val="24"/>
            </w:rPr>
            <w:t>目的：</w:t>
          </w:r>
        </w:sdtContent>
      </w:sdt>
      <w:sdt>
        <w:sdtPr>
          <w:rPr>
            <w:rFonts w:asciiTheme="majorEastAsia" w:eastAsiaTheme="majorEastAsia" w:hAnsiTheme="majorEastAsia"/>
          </w:rPr>
          <w:tag w:val="goog_rdk_1"/>
          <w:id w:val="122358814"/>
        </w:sdtPr>
        <w:sdtEndPr/>
        <w:sdtContent>
          <w:r w:rsidR="00AC6FCB" w:rsidRPr="00E01FEB">
            <w:rPr>
              <w:rFonts w:asciiTheme="majorEastAsia" w:eastAsiaTheme="majorEastAsia" w:hAnsiTheme="majorEastAsia" w:cs="Arial Unicode MS"/>
              <w:sz w:val="24"/>
              <w:szCs w:val="24"/>
            </w:rPr>
            <w:t>「</w:t>
          </w:r>
        </w:sdtContent>
      </w:sdt>
      <w:r w:rsidR="00AC6FCB" w:rsidRPr="00E01FEB">
        <w:rPr>
          <w:rFonts w:asciiTheme="majorEastAsia" w:eastAsiaTheme="majorEastAsia" w:hAnsiTheme="majorEastAsia"/>
          <w:sz w:val="24"/>
          <w:szCs w:val="24"/>
        </w:rPr>
        <w:t>is/does</w:t>
      </w:r>
      <w:sdt>
        <w:sdtPr>
          <w:rPr>
            <w:rFonts w:asciiTheme="majorEastAsia" w:eastAsiaTheme="majorEastAsia" w:hAnsiTheme="majorEastAsia"/>
          </w:rPr>
          <w:tag w:val="goog_rdk_2"/>
          <w:id w:val="772590846"/>
        </w:sdtPr>
        <w:sdtEndPr/>
        <w:sdtContent>
          <w:r w:rsidR="00AC6FCB" w:rsidRPr="00E01FEB">
            <w:rPr>
              <w:rFonts w:asciiTheme="majorEastAsia" w:eastAsiaTheme="majorEastAsia" w:hAnsiTheme="majorEastAsia" w:cs="Arial Unicode MS"/>
              <w:sz w:val="24"/>
              <w:szCs w:val="24"/>
            </w:rPr>
            <w:t>(現在形）」「</w:t>
          </w:r>
        </w:sdtContent>
      </w:sdt>
      <w:r w:rsidR="00AC6FCB" w:rsidRPr="00E01FEB">
        <w:rPr>
          <w:rFonts w:asciiTheme="majorEastAsia" w:eastAsiaTheme="majorEastAsia" w:hAnsiTheme="majorEastAsia"/>
          <w:sz w:val="24"/>
          <w:szCs w:val="24"/>
        </w:rPr>
        <w:t>this</w:t>
      </w:r>
      <w:sdt>
        <w:sdtPr>
          <w:rPr>
            <w:rFonts w:asciiTheme="majorEastAsia" w:eastAsiaTheme="majorEastAsia" w:hAnsiTheme="majorEastAsia"/>
          </w:rPr>
          <w:tag w:val="goog_rdk_3"/>
          <w:id w:val="-1485688458"/>
        </w:sdtPr>
        <w:sdtEndPr/>
        <w:sdtContent>
          <w:r w:rsidR="00AC6FCB" w:rsidRPr="00E01FEB">
            <w:rPr>
              <w:rFonts w:asciiTheme="majorEastAsia" w:eastAsiaTheme="majorEastAsia" w:hAnsiTheme="majorEastAsia" w:cs="Arial Unicode MS"/>
              <w:sz w:val="24"/>
              <w:szCs w:val="24"/>
            </w:rPr>
            <w:t>（人・場所・登場人物）・・・」という表現の文法形式を学んで練習</w:t>
          </w:r>
        </w:sdtContent>
      </w:sdt>
      <w:sdt>
        <w:sdtPr>
          <w:rPr>
            <w:rFonts w:asciiTheme="majorEastAsia" w:eastAsiaTheme="majorEastAsia" w:hAnsiTheme="majorEastAsia"/>
          </w:rPr>
          <w:tag w:val="goog_rdk_4"/>
          <w:id w:val="-649830452"/>
        </w:sdtPr>
        <w:sdtEndPr/>
        <w:sdtContent>
          <w:r w:rsidR="00AC6FCB" w:rsidRPr="00E01FEB">
            <w:rPr>
              <w:rFonts w:asciiTheme="majorEastAsia" w:eastAsiaTheme="majorEastAsia" w:hAnsiTheme="majorEastAsia" w:cs="Arial Unicode MS"/>
              <w:sz w:val="24"/>
              <w:szCs w:val="24"/>
            </w:rPr>
            <w:t>し、</w:t>
          </w:r>
        </w:sdtContent>
      </w:sdt>
      <w:sdt>
        <w:sdtPr>
          <w:rPr>
            <w:rFonts w:asciiTheme="majorEastAsia" w:eastAsiaTheme="majorEastAsia" w:hAnsiTheme="majorEastAsia"/>
          </w:rPr>
          <w:tag w:val="goog_rdk_5"/>
          <w:id w:val="1965539314"/>
        </w:sdtPr>
        <w:sdtEndPr/>
        <w:sdtContent>
          <w:r w:rsidR="00AC6FCB" w:rsidRPr="00E01FEB">
            <w:rPr>
              <w:rFonts w:asciiTheme="majorEastAsia" w:eastAsiaTheme="majorEastAsia" w:hAnsiTheme="majorEastAsia" w:cs="Arial Unicode MS"/>
              <w:sz w:val="24"/>
              <w:szCs w:val="24"/>
            </w:rPr>
            <w:t>これらの表現を使うことで、スリーヒントゲームのバリエーションで文章や質問を作成できるように</w:t>
          </w:r>
        </w:sdtContent>
      </w:sdt>
      <w:sdt>
        <w:sdtPr>
          <w:rPr>
            <w:rFonts w:asciiTheme="majorEastAsia" w:eastAsiaTheme="majorEastAsia" w:hAnsiTheme="majorEastAsia"/>
          </w:rPr>
          <w:tag w:val="goog_rdk_6"/>
          <w:id w:val="72093903"/>
        </w:sdtPr>
        <w:sdtEndPr/>
        <w:sdtContent>
          <w:r w:rsidR="00AC6FCB" w:rsidRPr="00E01FEB">
            <w:rPr>
              <w:rFonts w:asciiTheme="majorEastAsia" w:eastAsiaTheme="majorEastAsia" w:hAnsiTheme="majorEastAsia" w:cs="Arial Unicode MS"/>
              <w:sz w:val="24"/>
              <w:szCs w:val="24"/>
            </w:rPr>
            <w:t>なる</w:t>
          </w:r>
        </w:sdtContent>
      </w:sdt>
      <w:sdt>
        <w:sdtPr>
          <w:rPr>
            <w:rFonts w:asciiTheme="majorEastAsia" w:eastAsiaTheme="majorEastAsia" w:hAnsiTheme="majorEastAsia"/>
          </w:rPr>
          <w:tag w:val="goog_rdk_7"/>
          <w:id w:val="818620388"/>
        </w:sdtPr>
        <w:sdtEndPr/>
        <w:sdtContent>
          <w:r w:rsidR="00AC6FCB" w:rsidRPr="00E01FEB">
            <w:rPr>
              <w:rFonts w:asciiTheme="majorEastAsia" w:eastAsiaTheme="majorEastAsia" w:hAnsiTheme="majorEastAsia" w:cs="Arial Unicode MS"/>
              <w:sz w:val="24"/>
              <w:szCs w:val="24"/>
            </w:rPr>
            <w:t>。</w:t>
          </w:r>
        </w:sdtContent>
      </w:sdt>
    </w:p>
    <w:p w:rsidR="0001712A" w:rsidRDefault="00AC6FCB">
      <w:pPr>
        <w:spacing w:after="200"/>
        <w:rPr>
          <w:sz w:val="24"/>
          <w:szCs w:val="24"/>
        </w:rPr>
      </w:pPr>
      <w:r>
        <w:rPr>
          <w:b/>
          <w:sz w:val="24"/>
          <w:szCs w:val="24"/>
        </w:rPr>
        <w:t xml:space="preserve">Materials: </w:t>
      </w:r>
      <w:r>
        <w:rPr>
          <w:sz w:val="24"/>
          <w:szCs w:val="24"/>
        </w:rPr>
        <w:t xml:space="preserve">A </w:t>
      </w:r>
      <w:proofErr w:type="spellStart"/>
      <w:proofErr w:type="gramStart"/>
      <w:r>
        <w:rPr>
          <w:sz w:val="24"/>
          <w:szCs w:val="24"/>
        </w:rPr>
        <w:t>powerpoint</w:t>
      </w:r>
      <w:proofErr w:type="spellEnd"/>
      <w:proofErr w:type="gramEnd"/>
      <w:r>
        <w:rPr>
          <w:sz w:val="24"/>
          <w:szCs w:val="24"/>
        </w:rPr>
        <w:t xml:space="preserve"> presentation set up with a few characters/places/people (roughly 6-8 depending on the difficulty of the questions) and one or two clues using the “This () is/does” sentence structure. </w:t>
      </w:r>
    </w:p>
    <w:p w:rsidR="0001712A" w:rsidRDefault="0001712A">
      <w:pPr>
        <w:spacing w:after="200"/>
        <w:rPr>
          <w:sz w:val="24"/>
          <w:szCs w:val="24"/>
        </w:rPr>
      </w:pPr>
    </w:p>
    <w:p w:rsidR="0001712A" w:rsidRDefault="00AC6FCB">
      <w:pPr>
        <w:spacing w:after="200"/>
        <w:rPr>
          <w:b/>
          <w:sz w:val="24"/>
          <w:szCs w:val="24"/>
        </w:rPr>
      </w:pPr>
      <w:r>
        <w:rPr>
          <w:b/>
          <w:sz w:val="24"/>
          <w:szCs w:val="24"/>
        </w:rPr>
        <w:t>I. Review and Introduction: ~ 5 minutes</w:t>
      </w:r>
    </w:p>
    <w:p w:rsidR="0001712A" w:rsidRDefault="00AC6FCB">
      <w:pPr>
        <w:numPr>
          <w:ilvl w:val="0"/>
          <w:numId w:val="5"/>
        </w:numPr>
        <w:spacing w:after="200"/>
        <w:rPr>
          <w:sz w:val="24"/>
          <w:szCs w:val="24"/>
        </w:rPr>
      </w:pPr>
      <w:r>
        <w:rPr>
          <w:sz w:val="24"/>
          <w:szCs w:val="24"/>
        </w:rPr>
        <w:t>The JTL will first review the two separate grammar points and introduce examples of sentences combining the two.</w:t>
      </w:r>
    </w:p>
    <w:p w:rsidR="0001712A" w:rsidRDefault="00AC6FCB">
      <w:pPr>
        <w:numPr>
          <w:ilvl w:val="0"/>
          <w:numId w:val="1"/>
        </w:numPr>
        <w:spacing w:after="200"/>
        <w:rPr>
          <w:sz w:val="24"/>
          <w:szCs w:val="24"/>
        </w:rPr>
      </w:pPr>
      <w:r>
        <w:rPr>
          <w:sz w:val="24"/>
          <w:szCs w:val="24"/>
        </w:rPr>
        <w:t xml:space="preserve">This would involve writing the examples on the board. </w:t>
      </w:r>
    </w:p>
    <w:p w:rsidR="0001712A" w:rsidRDefault="00AC6FCB">
      <w:pPr>
        <w:numPr>
          <w:ilvl w:val="0"/>
          <w:numId w:val="1"/>
        </w:numPr>
        <w:spacing w:after="200"/>
        <w:rPr>
          <w:sz w:val="24"/>
          <w:szCs w:val="24"/>
        </w:rPr>
      </w:pPr>
      <w:r>
        <w:rPr>
          <w:sz w:val="24"/>
          <w:szCs w:val="24"/>
        </w:rPr>
        <w:t xml:space="preserve">For example, “Yes, </w:t>
      </w:r>
      <w:r>
        <w:rPr>
          <w:sz w:val="24"/>
          <w:szCs w:val="24"/>
          <w:u w:val="single"/>
        </w:rPr>
        <w:t>this person</w:t>
      </w:r>
      <w:r>
        <w:rPr>
          <w:sz w:val="24"/>
          <w:szCs w:val="24"/>
        </w:rPr>
        <w:t xml:space="preserve"> </w:t>
      </w:r>
      <w:r>
        <w:rPr>
          <w:b/>
          <w:sz w:val="24"/>
          <w:szCs w:val="24"/>
        </w:rPr>
        <w:t xml:space="preserve">does have </w:t>
      </w:r>
      <w:r>
        <w:rPr>
          <w:sz w:val="24"/>
          <w:szCs w:val="24"/>
        </w:rPr>
        <w:t xml:space="preserve">a big pocket,” or “No, </w:t>
      </w:r>
      <w:r>
        <w:rPr>
          <w:sz w:val="24"/>
          <w:szCs w:val="24"/>
          <w:u w:val="single"/>
        </w:rPr>
        <w:t>this character</w:t>
      </w:r>
      <w:r>
        <w:rPr>
          <w:sz w:val="24"/>
          <w:szCs w:val="24"/>
        </w:rPr>
        <w:t xml:space="preserve"> </w:t>
      </w:r>
      <w:r>
        <w:rPr>
          <w:b/>
          <w:sz w:val="24"/>
          <w:szCs w:val="24"/>
        </w:rPr>
        <w:t xml:space="preserve">is not </w:t>
      </w:r>
      <w:r>
        <w:rPr>
          <w:sz w:val="24"/>
          <w:szCs w:val="24"/>
        </w:rPr>
        <w:t>a cat.” Keep in mind to underline key grammar phrases in different colors.</w:t>
      </w:r>
    </w:p>
    <w:p w:rsidR="0001712A" w:rsidRDefault="00AC6FCB">
      <w:pPr>
        <w:spacing w:after="200"/>
        <w:rPr>
          <w:b/>
          <w:sz w:val="24"/>
          <w:szCs w:val="24"/>
        </w:rPr>
      </w:pPr>
      <w:r>
        <w:rPr>
          <w:b/>
          <w:sz w:val="24"/>
          <w:szCs w:val="24"/>
        </w:rPr>
        <w:t>II. The Main Part: ~ 10-15 minutes</w:t>
      </w:r>
    </w:p>
    <w:p w:rsidR="0001712A" w:rsidRDefault="00AC6FCB">
      <w:pPr>
        <w:numPr>
          <w:ilvl w:val="0"/>
          <w:numId w:val="3"/>
        </w:numPr>
        <w:spacing w:after="200"/>
        <w:rPr>
          <w:sz w:val="24"/>
          <w:szCs w:val="24"/>
        </w:rPr>
      </w:pPr>
      <w:r>
        <w:rPr>
          <w:sz w:val="24"/>
          <w:szCs w:val="24"/>
        </w:rPr>
        <w:t>Students will form groups of four to five people. The ALT will explain the rules, with the JTL translating as needed.</w:t>
      </w:r>
    </w:p>
    <w:p w:rsidR="0001712A" w:rsidRDefault="00AC6FCB">
      <w:pPr>
        <w:numPr>
          <w:ilvl w:val="0"/>
          <w:numId w:val="3"/>
        </w:numPr>
        <w:spacing w:after="200"/>
        <w:rPr>
          <w:sz w:val="24"/>
          <w:szCs w:val="24"/>
        </w:rPr>
      </w:pPr>
      <w:r>
        <w:rPr>
          <w:sz w:val="24"/>
          <w:szCs w:val="24"/>
        </w:rPr>
        <w:t xml:space="preserve">Once the game starts, the ALT will give the students the category and one or two clues about the answer, before turning to the students and having them ask questions using the “Does/is this…” sentence structure. </w:t>
      </w:r>
    </w:p>
    <w:p w:rsidR="0001712A" w:rsidRDefault="00AC6FCB">
      <w:pPr>
        <w:numPr>
          <w:ilvl w:val="0"/>
          <w:numId w:val="4"/>
        </w:numPr>
        <w:spacing w:after="200"/>
        <w:rPr>
          <w:sz w:val="24"/>
          <w:szCs w:val="24"/>
        </w:rPr>
      </w:pPr>
      <w:r>
        <w:rPr>
          <w:sz w:val="24"/>
          <w:szCs w:val="24"/>
        </w:rPr>
        <w:t xml:space="preserve">Any group can ask questions or answer, however a student cannot ask another question or answer until everyone in their group has talked. </w:t>
      </w:r>
    </w:p>
    <w:p w:rsidR="0001712A" w:rsidRDefault="00AC6FCB">
      <w:pPr>
        <w:numPr>
          <w:ilvl w:val="1"/>
          <w:numId w:val="4"/>
        </w:numPr>
        <w:spacing w:after="200"/>
        <w:rPr>
          <w:sz w:val="24"/>
          <w:szCs w:val="24"/>
        </w:rPr>
      </w:pPr>
      <w:r>
        <w:rPr>
          <w:sz w:val="24"/>
          <w:szCs w:val="24"/>
        </w:rPr>
        <w:t>For example, if a student in group A asks a question, they can’t answer or ask another question until everyone in group A has gone.</w:t>
      </w:r>
    </w:p>
    <w:p w:rsidR="00E01FEB" w:rsidRDefault="00E01FEB" w:rsidP="00E01FEB">
      <w:pPr>
        <w:spacing w:after="200"/>
        <w:ind w:left="2880"/>
        <w:rPr>
          <w:sz w:val="24"/>
          <w:szCs w:val="24"/>
        </w:rPr>
      </w:pPr>
    </w:p>
    <w:p w:rsidR="0001712A" w:rsidRDefault="00AC6FCB">
      <w:pPr>
        <w:numPr>
          <w:ilvl w:val="0"/>
          <w:numId w:val="4"/>
        </w:numPr>
        <w:spacing w:after="200"/>
        <w:rPr>
          <w:sz w:val="24"/>
          <w:szCs w:val="24"/>
        </w:rPr>
      </w:pPr>
      <w:r>
        <w:rPr>
          <w:sz w:val="24"/>
          <w:szCs w:val="24"/>
        </w:rPr>
        <w:t xml:space="preserve">When answering their questions or providing the quiz answer, the ALT should make sure to use the same sentence structure, “This x is/does”. </w:t>
      </w:r>
    </w:p>
    <w:p w:rsidR="0001712A" w:rsidRDefault="00AC6FCB">
      <w:pPr>
        <w:numPr>
          <w:ilvl w:val="1"/>
          <w:numId w:val="4"/>
        </w:numPr>
        <w:spacing w:after="200"/>
        <w:rPr>
          <w:sz w:val="24"/>
          <w:szCs w:val="24"/>
        </w:rPr>
      </w:pPr>
      <w:r>
        <w:rPr>
          <w:sz w:val="24"/>
          <w:szCs w:val="24"/>
        </w:rPr>
        <w:t>For example, the student may ask, “Is this character a girl?” and the ALT would reply with, “No, this character is not a girl.”</w:t>
      </w:r>
      <w:r>
        <w:rPr>
          <w:sz w:val="24"/>
          <w:szCs w:val="24"/>
        </w:rPr>
        <w:tab/>
      </w:r>
      <w:r>
        <w:rPr>
          <w:sz w:val="24"/>
          <w:szCs w:val="24"/>
        </w:rPr>
        <w:tab/>
      </w:r>
    </w:p>
    <w:p w:rsidR="0001712A" w:rsidRDefault="00AC6FCB">
      <w:pPr>
        <w:spacing w:after="200"/>
        <w:rPr>
          <w:sz w:val="24"/>
          <w:szCs w:val="24"/>
        </w:rPr>
      </w:pPr>
      <w:r>
        <w:rPr>
          <w:b/>
          <w:sz w:val="24"/>
          <w:szCs w:val="24"/>
        </w:rPr>
        <w:t xml:space="preserve">Additional Notes: </w:t>
      </w:r>
    </w:p>
    <w:p w:rsidR="0001712A" w:rsidRDefault="00AC6FCB">
      <w:pPr>
        <w:spacing w:after="200"/>
        <w:rPr>
          <w:sz w:val="24"/>
          <w:szCs w:val="24"/>
        </w:rPr>
      </w:pPr>
      <w:r>
        <w:rPr>
          <w:sz w:val="24"/>
          <w:szCs w:val="24"/>
        </w:rPr>
        <w:t>When I did this, the students seemed to be more engaged when having a new student ask or answer. Students who have answered or asked already would help students who are generally less talkative and encourage them to ask a question or answer.</w:t>
      </w:r>
    </w:p>
    <w:p w:rsidR="0001712A" w:rsidRDefault="00AC6FCB">
      <w:pPr>
        <w:spacing w:after="200"/>
        <w:rPr>
          <w:sz w:val="24"/>
          <w:szCs w:val="24"/>
        </w:rPr>
      </w:pPr>
      <w:r>
        <w:rPr>
          <w:sz w:val="24"/>
          <w:szCs w:val="24"/>
        </w:rPr>
        <w:t xml:space="preserve">The ALT can also set a rotation where one group asks a question then the next group down the line, and when someone knows the answer any group can raise their hand. </w:t>
      </w:r>
    </w:p>
    <w:p w:rsidR="0001712A" w:rsidRDefault="00AC6FCB">
      <w:pPr>
        <w:spacing w:after="200"/>
        <w:rPr>
          <w:sz w:val="24"/>
          <w:szCs w:val="24"/>
        </w:rPr>
      </w:pPr>
      <w:r>
        <w:rPr>
          <w:sz w:val="24"/>
          <w:szCs w:val="24"/>
        </w:rPr>
        <w:t xml:space="preserve">Stickers can be used to motivate students to ask questions. </w:t>
      </w:r>
    </w:p>
    <w:p w:rsidR="0001712A" w:rsidRDefault="00AC6FCB">
      <w:pPr>
        <w:spacing w:after="200"/>
        <w:rPr>
          <w:sz w:val="24"/>
          <w:szCs w:val="24"/>
        </w:rPr>
      </w:pPr>
      <w:r>
        <w:rPr>
          <w:sz w:val="24"/>
          <w:szCs w:val="24"/>
        </w:rPr>
        <w:t>For classes without access to a projector, the ALT may use the board and chalk to write out clues instead.</w:t>
      </w:r>
    </w:p>
    <w:p w:rsidR="0001712A" w:rsidRDefault="00AC6FCB">
      <w:pPr>
        <w:spacing w:after="200"/>
        <w:rPr>
          <w:sz w:val="24"/>
          <w:szCs w:val="24"/>
        </w:rPr>
      </w:pPr>
      <w:r>
        <w:rPr>
          <w:sz w:val="24"/>
          <w:szCs w:val="24"/>
        </w:rPr>
        <w:t>Try to keep the answers not so easy that students don't need to ask questions but also not too hard where the students give up. In the case that they aren’t asking questions, the ALT should try suggesting categories for students to ask, such as gender, size, color, etc.,.</w:t>
      </w:r>
      <w:r>
        <w:rPr>
          <w:sz w:val="24"/>
          <w:szCs w:val="24"/>
        </w:rPr>
        <w:tab/>
      </w:r>
    </w:p>
    <w:p w:rsidR="0001712A" w:rsidRDefault="00AC6FCB">
      <w:pPr>
        <w:numPr>
          <w:ilvl w:val="0"/>
          <w:numId w:val="2"/>
        </w:numPr>
        <w:spacing w:after="200"/>
        <w:rPr>
          <w:sz w:val="24"/>
          <w:szCs w:val="24"/>
        </w:rPr>
      </w:pPr>
      <w:r>
        <w:rPr>
          <w:sz w:val="24"/>
          <w:szCs w:val="24"/>
        </w:rPr>
        <w:t>For example, the ALT could say, “Hmm, I wonder if this place is in Japan or not…</w:t>
      </w:r>
      <w:proofErr w:type="gramStart"/>
      <w:r>
        <w:rPr>
          <w:sz w:val="24"/>
          <w:szCs w:val="24"/>
        </w:rPr>
        <w:t>”.</w:t>
      </w:r>
      <w:proofErr w:type="gramEnd"/>
      <w:r>
        <w:rPr>
          <w:sz w:val="24"/>
          <w:szCs w:val="24"/>
        </w:rPr>
        <w:t xml:space="preserve"> </w:t>
      </w:r>
    </w:p>
    <w:p w:rsidR="0001712A" w:rsidRDefault="00AC6FCB">
      <w:pPr>
        <w:spacing w:after="200"/>
        <w:rPr>
          <w:b/>
          <w:sz w:val="24"/>
          <w:szCs w:val="24"/>
        </w:rPr>
      </w:pPr>
      <w:r>
        <w:rPr>
          <w:noProof/>
          <w:lang w:val="en-US"/>
        </w:rPr>
        <w:drawing>
          <wp:anchor distT="114300" distB="114300" distL="114300" distR="114300" simplePos="0" relativeHeight="251658240" behindDoc="0" locked="0" layoutInCell="1" hidden="0" allowOverlap="1">
            <wp:simplePos x="0" y="0"/>
            <wp:positionH relativeFrom="column">
              <wp:posOffset>1984730</wp:posOffset>
            </wp:positionH>
            <wp:positionV relativeFrom="paragraph">
              <wp:posOffset>201764</wp:posOffset>
            </wp:positionV>
            <wp:extent cx="1808043" cy="1808043"/>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808043" cy="1808043"/>
                    </a:xfrm>
                    <a:prstGeom prst="rect">
                      <a:avLst/>
                    </a:prstGeom>
                    <a:ln/>
                  </pic:spPr>
                </pic:pic>
              </a:graphicData>
            </a:graphic>
          </wp:anchor>
        </w:drawing>
      </w:r>
    </w:p>
    <w:p w:rsidR="0001712A" w:rsidRDefault="00AC6FCB">
      <w:pPr>
        <w:spacing w:after="200"/>
        <w:rPr>
          <w:b/>
          <w:sz w:val="24"/>
          <w:szCs w:val="24"/>
        </w:rPr>
      </w:pPr>
      <w:r>
        <w:rPr>
          <w:b/>
          <w:sz w:val="24"/>
          <w:szCs w:val="24"/>
        </w:rPr>
        <w:t>Example for reference:</w:t>
      </w:r>
    </w:p>
    <w:p w:rsidR="0001712A" w:rsidRDefault="00AC6FCB">
      <w:pPr>
        <w:spacing w:after="200"/>
        <w:rPr>
          <w:sz w:val="24"/>
          <w:szCs w:val="24"/>
        </w:rPr>
      </w:pPr>
      <w:r>
        <w:rPr>
          <w:sz w:val="24"/>
          <w:szCs w:val="24"/>
        </w:rPr>
        <w:t>QR Code:</w:t>
      </w:r>
    </w:p>
    <w:p w:rsidR="0001712A" w:rsidRDefault="0001712A">
      <w:pPr>
        <w:spacing w:after="200"/>
        <w:rPr>
          <w:sz w:val="24"/>
          <w:szCs w:val="24"/>
        </w:rPr>
      </w:pPr>
    </w:p>
    <w:sectPr w:rsidR="0001712A" w:rsidSect="00281CC5">
      <w:headerReference w:type="default" r:id="rId9"/>
      <w:footerReference w:type="default" r:id="rId10"/>
      <w:pgSz w:w="11907" w:h="16839" w:code="9"/>
      <w:pgMar w:top="1134" w:right="1134" w:bottom="1134" w:left="1134" w:header="720" w:footer="340" w:gutter="0"/>
      <w:pgNumType w:start="137"/>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0CFC" w:rsidRDefault="00AC6FCB">
      <w:pPr>
        <w:spacing w:line="240" w:lineRule="auto"/>
      </w:pPr>
      <w:r>
        <w:separator/>
      </w:r>
    </w:p>
  </w:endnote>
  <w:endnote w:type="continuationSeparator" w:id="0">
    <w:p w:rsidR="00710CFC" w:rsidRDefault="00AC6F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1637494"/>
      <w:docPartObj>
        <w:docPartGallery w:val="Page Numbers (Bottom of Page)"/>
        <w:docPartUnique/>
      </w:docPartObj>
    </w:sdtPr>
    <w:sdtEndPr>
      <w:rPr>
        <w:noProof/>
      </w:rPr>
    </w:sdtEndPr>
    <w:sdtContent>
      <w:p w:rsidR="00281CC5" w:rsidRDefault="00281CC5">
        <w:pPr>
          <w:pStyle w:val="Footer"/>
          <w:jc w:val="center"/>
        </w:pPr>
        <w:r>
          <w:fldChar w:fldCharType="begin"/>
        </w:r>
        <w:r>
          <w:instrText xml:space="preserve"> PAGE   \* MERGEFORMAT </w:instrText>
        </w:r>
        <w:r>
          <w:fldChar w:fldCharType="separate"/>
        </w:r>
        <w:r>
          <w:rPr>
            <w:noProof/>
          </w:rPr>
          <w:t>138</w:t>
        </w:r>
        <w:r>
          <w:rPr>
            <w:noProof/>
          </w:rPr>
          <w:fldChar w:fldCharType="end"/>
        </w:r>
      </w:p>
    </w:sdtContent>
  </w:sdt>
  <w:p w:rsidR="00281CC5" w:rsidRDefault="00281C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0CFC" w:rsidRDefault="00AC6FCB">
      <w:pPr>
        <w:spacing w:line="240" w:lineRule="auto"/>
      </w:pPr>
      <w:r>
        <w:separator/>
      </w:r>
    </w:p>
  </w:footnote>
  <w:footnote w:type="continuationSeparator" w:id="0">
    <w:p w:rsidR="00710CFC" w:rsidRDefault="00AC6FC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712A" w:rsidRPr="00E01FEB" w:rsidRDefault="00AC6FCB" w:rsidP="00E01FEB">
    <w:pPr>
      <w:spacing w:line="240" w:lineRule="auto"/>
      <w:jc w:val="right"/>
      <w:rPr>
        <w:rFonts w:asciiTheme="majorHAnsi" w:hAnsiTheme="majorHAnsi" w:cstheme="majorHAnsi"/>
      </w:rPr>
    </w:pPr>
    <w:proofErr w:type="spellStart"/>
    <w:r w:rsidRPr="00E01FEB">
      <w:rPr>
        <w:rFonts w:asciiTheme="majorHAnsi" w:hAnsiTheme="majorHAnsi" w:cstheme="majorHAnsi"/>
      </w:rPr>
      <w:t>Borlen</w:t>
    </w:r>
    <w:proofErr w:type="spellEnd"/>
    <w:r w:rsidRPr="00E01FEB">
      <w:rPr>
        <w:rFonts w:asciiTheme="majorHAnsi" w:hAnsiTheme="majorHAnsi" w:cstheme="majorHAnsi"/>
      </w:rPr>
      <w:t xml:space="preserve"> Chong</w:t>
    </w:r>
  </w:p>
  <w:p w:rsidR="0001712A" w:rsidRPr="00E01FEB" w:rsidRDefault="00AC6FCB" w:rsidP="00E01FEB">
    <w:pPr>
      <w:spacing w:line="240" w:lineRule="auto"/>
      <w:jc w:val="right"/>
      <w:rPr>
        <w:rFonts w:asciiTheme="majorHAnsi" w:hAnsiTheme="majorHAnsi" w:cstheme="majorHAnsi"/>
      </w:rPr>
    </w:pPr>
    <w:proofErr w:type="spellStart"/>
    <w:r w:rsidRPr="00E01FEB">
      <w:rPr>
        <w:rFonts w:asciiTheme="majorHAnsi" w:hAnsiTheme="majorHAnsi" w:cstheme="majorHAnsi"/>
      </w:rPr>
      <w:t>Nanbu</w:t>
    </w:r>
    <w:proofErr w:type="spellEnd"/>
    <w:r w:rsidRPr="00E01FEB">
      <w:rPr>
        <w:rFonts w:asciiTheme="majorHAnsi" w:hAnsiTheme="majorHAnsi" w:cstheme="majorHAnsi"/>
      </w:rPr>
      <w:t xml:space="preserve"> </w:t>
    </w:r>
    <w:r w:rsidR="00E01FEB">
      <w:rPr>
        <w:rFonts w:asciiTheme="majorHAnsi" w:hAnsiTheme="majorHAnsi" w:cstheme="majorHAnsi"/>
      </w:rPr>
      <w:t>JHS</w:t>
    </w:r>
  </w:p>
  <w:p w:rsidR="0001712A" w:rsidRPr="00E01FEB" w:rsidRDefault="00AC6FCB" w:rsidP="00E01FEB">
    <w:pPr>
      <w:spacing w:line="240" w:lineRule="auto"/>
      <w:jc w:val="right"/>
      <w:rPr>
        <w:rFonts w:asciiTheme="majorHAnsi" w:hAnsiTheme="majorHAnsi" w:cstheme="majorHAnsi"/>
      </w:rPr>
    </w:pPr>
    <w:r w:rsidRPr="00E01FEB">
      <w:rPr>
        <w:rFonts w:asciiTheme="majorHAnsi" w:hAnsiTheme="majorHAnsi" w:cstheme="majorHAnsi"/>
      </w:rPr>
      <w:t>Quick Activities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065B4D"/>
    <w:multiLevelType w:val="multilevel"/>
    <w:tmpl w:val="ADCE47B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30C40022"/>
    <w:multiLevelType w:val="multilevel"/>
    <w:tmpl w:val="A712E95A"/>
    <w:lvl w:ilvl="0">
      <w:start w:val="1"/>
      <w:numFmt w:val="lowerLetter"/>
      <w:lvlText w:val="%1."/>
      <w:lvlJc w:val="left"/>
      <w:pPr>
        <w:ind w:left="216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2" w15:restartNumberingAfterBreak="0">
    <w:nsid w:val="47AC43D9"/>
    <w:multiLevelType w:val="multilevel"/>
    <w:tmpl w:val="490A965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15:restartNumberingAfterBreak="0">
    <w:nsid w:val="66494596"/>
    <w:multiLevelType w:val="multilevel"/>
    <w:tmpl w:val="8AEC12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5D114C0"/>
    <w:multiLevelType w:val="multilevel"/>
    <w:tmpl w:val="9CF27366"/>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12A"/>
    <w:rsid w:val="0001712A"/>
    <w:rsid w:val="00281CC5"/>
    <w:rsid w:val="00710CFC"/>
    <w:rsid w:val="00AC6FCB"/>
    <w:rsid w:val="00E01F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2B01596A-2306-4306-BF79-303EEB250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EastAsia"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rFonts w:eastAsia="Arial"/>
      <w:color w:val="666666"/>
      <w:sz w:val="30"/>
      <w:szCs w:val="30"/>
    </w:rPr>
  </w:style>
  <w:style w:type="paragraph" w:styleId="Header">
    <w:name w:val="header"/>
    <w:basedOn w:val="Normal"/>
    <w:link w:val="HeaderChar"/>
    <w:uiPriority w:val="99"/>
    <w:unhideWhenUsed/>
    <w:rsid w:val="00E01FEB"/>
    <w:pPr>
      <w:tabs>
        <w:tab w:val="center" w:pos="4252"/>
        <w:tab w:val="right" w:pos="8504"/>
      </w:tabs>
      <w:snapToGrid w:val="0"/>
    </w:pPr>
  </w:style>
  <w:style w:type="character" w:customStyle="1" w:styleId="HeaderChar">
    <w:name w:val="Header Char"/>
    <w:basedOn w:val="DefaultParagraphFont"/>
    <w:link w:val="Header"/>
    <w:uiPriority w:val="99"/>
    <w:rsid w:val="00E01FEB"/>
  </w:style>
  <w:style w:type="paragraph" w:styleId="Footer">
    <w:name w:val="footer"/>
    <w:basedOn w:val="Normal"/>
    <w:link w:val="FooterChar"/>
    <w:uiPriority w:val="99"/>
    <w:unhideWhenUsed/>
    <w:rsid w:val="00E01FEB"/>
    <w:pPr>
      <w:tabs>
        <w:tab w:val="center" w:pos="4252"/>
        <w:tab w:val="right" w:pos="8504"/>
      </w:tabs>
      <w:snapToGrid w:val="0"/>
    </w:pPr>
  </w:style>
  <w:style w:type="character" w:customStyle="1" w:styleId="FooterChar">
    <w:name w:val="Footer Char"/>
    <w:basedOn w:val="DefaultParagraphFont"/>
    <w:link w:val="Footer"/>
    <w:uiPriority w:val="99"/>
    <w:rsid w:val="00E01FEB"/>
  </w:style>
  <w:style w:type="paragraph" w:styleId="BalloonText">
    <w:name w:val="Balloon Text"/>
    <w:basedOn w:val="Normal"/>
    <w:link w:val="BalloonTextChar"/>
    <w:uiPriority w:val="99"/>
    <w:semiHidden/>
    <w:unhideWhenUsed/>
    <w:rsid w:val="00E01FEB"/>
    <w:pPr>
      <w:spacing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E01FE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Y4xNFEkTBykSSAgA5JRlc8OJNQ==">CgMxLjAaJAoBMBIfCh0IB0IZCgVBcmltbxIQQXJpYWwgVW5pY29kZSBNUxokCgExEh8KHQgHQhkKBUFyaW1vEhBBcmlhbCBVbmljb2RlIE1TGiQKATISHwodCAdCGQoFQXJpbW8SEEFyaWFsIFVuaWNvZGUgTVMaJAoBMxIfCh0IB0IZCgVBcmltbxIQQXJpYWwgVW5pY29kZSBNUxokCgE0Eh8KHQgHQhkKBUFyaW1vEhBBcmlhbCBVbmljb2RlIE1TGiQKATUSHwodCAdCGQoFQXJpbW8SEEFyaWFsIFVuaWNvZGUgTVMaJAoBNhIfCh0IB0IZCgVBcmltbxIQQXJpYWwgVW5pY29kZSBNUxokCgE3Eh8KHQgHQhkKBUFyaW1vEhBBcmlhbCBVbmljb2RlIE1TOAByITFYRzBONHpfWFRHaXRtOFBqOUhWVU5LT0Z5NkZETlM5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445</Words>
  <Characters>2543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ALT03</dc:creator>
  <cp:lastModifiedBy>ALT03</cp:lastModifiedBy>
  <cp:revision>4</cp:revision>
  <cp:lastPrinted>2024-02-01T04:32:00Z</cp:lastPrinted>
  <dcterms:created xsi:type="dcterms:W3CDTF">2024-01-18T09:49:00Z</dcterms:created>
  <dcterms:modified xsi:type="dcterms:W3CDTF">2024-02-01T04:32:00Z</dcterms:modified>
</cp:coreProperties>
</file>