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9AF" w:rsidRDefault="00D85B7A" w:rsidP="0009150A">
      <w:pPr>
        <w:spacing w:before="200" w:line="480" w:lineRule="auto"/>
        <w:jc w:val="center"/>
        <w:rPr>
          <w:rFonts w:ascii="Arial" w:eastAsia="Arial" w:hAnsi="Arial" w:cs="Arial"/>
          <w:b/>
          <w:sz w:val="24"/>
          <w:szCs w:val="24"/>
        </w:rPr>
      </w:pPr>
      <w:bookmarkStart w:id="0" w:name="_heading=h.gjdgxs" w:colFirst="0" w:colLast="0"/>
      <w:bookmarkEnd w:id="0"/>
      <w:r>
        <w:rPr>
          <w:rFonts w:ascii="Arial" w:eastAsia="Arial" w:hAnsi="Arial" w:cs="Arial"/>
          <w:b/>
          <w:sz w:val="24"/>
          <w:szCs w:val="24"/>
        </w:rPr>
        <w:t>Kinesthetic Lessons</w:t>
      </w:r>
      <w:bookmarkStart w:id="1" w:name="_GoBack"/>
      <w:bookmarkEnd w:id="1"/>
    </w:p>
    <w:p w:rsidR="005559AF" w:rsidRDefault="00D85B7A">
      <w:pPr>
        <w:spacing w:before="200"/>
        <w:rPr>
          <w:rFonts w:ascii="Arial" w:eastAsia="Arial" w:hAnsi="Arial" w:cs="Arial"/>
          <w:b/>
          <w:sz w:val="24"/>
          <w:szCs w:val="24"/>
        </w:rPr>
      </w:pPr>
      <w:r>
        <w:rPr>
          <w:rFonts w:ascii="Arial" w:eastAsia="Arial" w:hAnsi="Arial" w:cs="Arial"/>
          <w:b/>
          <w:sz w:val="24"/>
          <w:szCs w:val="24"/>
        </w:rPr>
        <w:t xml:space="preserve">Class time needed for lesson: </w:t>
      </w:r>
      <w:r>
        <w:rPr>
          <w:rFonts w:ascii="Arial" w:eastAsia="Arial" w:hAnsi="Arial" w:cs="Arial"/>
          <w:sz w:val="24"/>
          <w:szCs w:val="24"/>
        </w:rPr>
        <w:t>Varies per activity</w:t>
      </w:r>
    </w:p>
    <w:p w:rsidR="005559AF" w:rsidRDefault="00D85B7A">
      <w:pPr>
        <w:spacing w:before="200"/>
        <w:rPr>
          <w:rFonts w:ascii="Arial" w:eastAsia="Arial" w:hAnsi="Arial" w:cs="Arial"/>
          <w:b/>
          <w:sz w:val="24"/>
          <w:szCs w:val="24"/>
        </w:rPr>
      </w:pPr>
      <w:r>
        <w:rPr>
          <w:rFonts w:ascii="Arial" w:eastAsia="Arial" w:hAnsi="Arial" w:cs="Arial"/>
          <w:b/>
          <w:sz w:val="24"/>
          <w:szCs w:val="24"/>
        </w:rPr>
        <w:t xml:space="preserve">Class size taught: </w:t>
      </w:r>
      <w:r>
        <w:rPr>
          <w:rFonts w:ascii="Arial" w:eastAsia="Arial" w:hAnsi="Arial" w:cs="Arial"/>
          <w:sz w:val="24"/>
          <w:szCs w:val="24"/>
        </w:rPr>
        <w:t>Any class size</w:t>
      </w:r>
    </w:p>
    <w:p w:rsidR="005559AF" w:rsidRDefault="00D85B7A">
      <w:pPr>
        <w:spacing w:before="200"/>
        <w:rPr>
          <w:rFonts w:ascii="Arial" w:eastAsia="Arial" w:hAnsi="Arial" w:cs="Arial"/>
          <w:sz w:val="24"/>
          <w:szCs w:val="24"/>
        </w:rPr>
      </w:pPr>
      <w:r>
        <w:rPr>
          <w:rFonts w:ascii="Arial" w:eastAsia="Arial" w:hAnsi="Arial" w:cs="Arial"/>
          <w:b/>
          <w:sz w:val="24"/>
          <w:szCs w:val="24"/>
        </w:rPr>
        <w:t>Target audience:</w:t>
      </w:r>
      <w:r>
        <w:rPr>
          <w:rFonts w:ascii="Arial" w:eastAsia="Arial" w:hAnsi="Arial" w:cs="Arial"/>
          <w:sz w:val="24"/>
          <w:szCs w:val="24"/>
        </w:rPr>
        <w:t xml:space="preserve"> New or Experienced Teachers</w:t>
      </w:r>
    </w:p>
    <w:p w:rsidR="005559AF" w:rsidRDefault="00D85B7A">
      <w:pPr>
        <w:spacing w:before="200"/>
        <w:rPr>
          <w:rFonts w:ascii="Arial" w:eastAsia="Arial" w:hAnsi="Arial" w:cs="Arial"/>
          <w:sz w:val="24"/>
          <w:szCs w:val="24"/>
        </w:rPr>
      </w:pPr>
      <w:r>
        <w:rPr>
          <w:rFonts w:ascii="Arial" w:eastAsia="Arial" w:hAnsi="Arial" w:cs="Arial"/>
          <w:b/>
          <w:sz w:val="24"/>
          <w:szCs w:val="24"/>
        </w:rPr>
        <w:t>Objective:</w:t>
      </w:r>
      <w:r>
        <w:rPr>
          <w:rFonts w:ascii="Arial" w:eastAsia="Arial" w:hAnsi="Arial" w:cs="Arial"/>
          <w:sz w:val="24"/>
          <w:szCs w:val="24"/>
        </w:rPr>
        <w:t xml:space="preserve"> Teachers will be able to engage students through a kinesthetic medium</w:t>
      </w:r>
    </w:p>
    <w:p w:rsidR="005559AF" w:rsidRPr="0009150A" w:rsidRDefault="002B017B">
      <w:pPr>
        <w:spacing w:before="200"/>
        <w:rPr>
          <w:rFonts w:asciiTheme="majorEastAsia" w:eastAsiaTheme="majorEastAsia" w:hAnsiTheme="majorEastAsia" w:cs="Arial"/>
          <w:sz w:val="24"/>
          <w:szCs w:val="24"/>
        </w:rPr>
      </w:pPr>
      <w:sdt>
        <w:sdtPr>
          <w:tag w:val="goog_rdk_0"/>
          <w:id w:val="-1909910474"/>
        </w:sdtPr>
        <w:sdtEndPr>
          <w:rPr>
            <w:rFonts w:asciiTheme="majorEastAsia" w:eastAsiaTheme="majorEastAsia" w:hAnsiTheme="majorEastAsia"/>
          </w:rPr>
        </w:sdtEndPr>
        <w:sdtContent>
          <w:r w:rsidR="00D85B7A" w:rsidRPr="0009150A">
            <w:rPr>
              <w:rFonts w:asciiTheme="majorEastAsia" w:eastAsiaTheme="majorEastAsia" w:hAnsiTheme="majorEastAsia" w:cs="Arial Unicode MS"/>
              <w:b/>
              <w:sz w:val="24"/>
              <w:szCs w:val="24"/>
            </w:rPr>
            <w:t>目的：</w:t>
          </w:r>
        </w:sdtContent>
      </w:sdt>
      <w:sdt>
        <w:sdtPr>
          <w:rPr>
            <w:rFonts w:asciiTheme="majorEastAsia" w:eastAsiaTheme="majorEastAsia" w:hAnsiTheme="majorEastAsia"/>
          </w:rPr>
          <w:tag w:val="goog_rdk_1"/>
          <w:id w:val="-1360652774"/>
        </w:sdtPr>
        <w:sdtEndPr/>
        <w:sdtContent>
          <w:r w:rsidR="00D85B7A" w:rsidRPr="0009150A">
            <w:rPr>
              <w:rFonts w:asciiTheme="majorEastAsia" w:eastAsiaTheme="majorEastAsia" w:hAnsiTheme="majorEastAsia" w:cs="Arial Unicode MS"/>
              <w:sz w:val="24"/>
              <w:szCs w:val="24"/>
            </w:rPr>
            <w:t>運動感覚</w:t>
          </w:r>
        </w:sdtContent>
      </w:sdt>
      <w:sdt>
        <w:sdtPr>
          <w:rPr>
            <w:rFonts w:asciiTheme="majorEastAsia" w:eastAsiaTheme="majorEastAsia" w:hAnsiTheme="majorEastAsia"/>
          </w:rPr>
          <w:tag w:val="goog_rdk_2"/>
          <w:id w:val="603084682"/>
        </w:sdtPr>
        <w:sdtEndPr/>
        <w:sdtContent>
          <w:r w:rsidR="00D85B7A" w:rsidRPr="0009150A">
            <w:rPr>
              <w:rFonts w:asciiTheme="majorEastAsia" w:eastAsiaTheme="majorEastAsia" w:hAnsiTheme="majorEastAsia" w:cs="Arial Unicode MS"/>
              <w:sz w:val="24"/>
              <w:szCs w:val="24"/>
            </w:rPr>
            <w:t>を利用して</w:t>
          </w:r>
        </w:sdtContent>
      </w:sdt>
      <w:sdt>
        <w:sdtPr>
          <w:rPr>
            <w:rFonts w:asciiTheme="majorEastAsia" w:eastAsiaTheme="majorEastAsia" w:hAnsiTheme="majorEastAsia"/>
          </w:rPr>
          <w:tag w:val="goog_rdk_3"/>
          <w:id w:val="-1585679108"/>
        </w:sdtPr>
        <w:sdtEndPr/>
        <w:sdtContent>
          <w:r w:rsidR="00D85B7A" w:rsidRPr="0009150A">
            <w:rPr>
              <w:rFonts w:asciiTheme="majorEastAsia" w:eastAsiaTheme="majorEastAsia" w:hAnsiTheme="majorEastAsia" w:cs="Arial Unicode MS"/>
              <w:sz w:val="24"/>
              <w:szCs w:val="24"/>
            </w:rPr>
            <w:t>生徒の関心を引きつけ</w:t>
          </w:r>
        </w:sdtContent>
      </w:sdt>
      <w:sdt>
        <w:sdtPr>
          <w:rPr>
            <w:rFonts w:asciiTheme="majorEastAsia" w:eastAsiaTheme="majorEastAsia" w:hAnsiTheme="majorEastAsia"/>
          </w:rPr>
          <w:tag w:val="goog_rdk_4"/>
          <w:id w:val="1257793309"/>
        </w:sdtPr>
        <w:sdtEndPr/>
        <w:sdtContent>
          <w:r w:rsidR="00D85B7A" w:rsidRPr="0009150A">
            <w:rPr>
              <w:rFonts w:asciiTheme="majorEastAsia" w:eastAsiaTheme="majorEastAsia" w:hAnsiTheme="majorEastAsia" w:cs="Arial Unicode MS"/>
              <w:sz w:val="24"/>
              <w:szCs w:val="24"/>
            </w:rPr>
            <w:t>ることができる。</w:t>
          </w:r>
        </w:sdtContent>
      </w:sdt>
    </w:p>
    <w:p w:rsidR="005559AF" w:rsidRDefault="00D85B7A">
      <w:pPr>
        <w:spacing w:before="200"/>
        <w:rPr>
          <w:rFonts w:ascii="Arial" w:eastAsia="Arial" w:hAnsi="Arial" w:cs="Arial"/>
          <w:sz w:val="24"/>
          <w:szCs w:val="24"/>
        </w:rPr>
      </w:pPr>
      <w:r>
        <w:rPr>
          <w:rFonts w:ascii="Arial" w:eastAsia="Arial" w:hAnsi="Arial" w:cs="Arial"/>
          <w:b/>
          <w:sz w:val="24"/>
          <w:szCs w:val="24"/>
        </w:rPr>
        <w:t>Materials:</w:t>
      </w:r>
      <w:r>
        <w:rPr>
          <w:rFonts w:ascii="Arial" w:eastAsia="Arial" w:hAnsi="Arial" w:cs="Arial"/>
          <w:sz w:val="24"/>
          <w:szCs w:val="24"/>
        </w:rPr>
        <w:t xml:space="preserve"> Wide open spaces and P.E. equipment</w:t>
      </w:r>
    </w:p>
    <w:p w:rsidR="005559AF" w:rsidRDefault="005559AF">
      <w:pPr>
        <w:spacing w:before="200"/>
        <w:rPr>
          <w:rFonts w:ascii="Arial" w:eastAsia="Arial" w:hAnsi="Arial" w:cs="Arial"/>
          <w:sz w:val="24"/>
          <w:szCs w:val="24"/>
        </w:rPr>
      </w:pPr>
    </w:p>
    <w:p w:rsidR="005559AF" w:rsidRDefault="00D85B7A">
      <w:pPr>
        <w:spacing w:before="200"/>
        <w:rPr>
          <w:rFonts w:ascii="Arial" w:eastAsia="Arial" w:hAnsi="Arial" w:cs="Arial"/>
          <w:sz w:val="24"/>
          <w:szCs w:val="24"/>
        </w:rPr>
      </w:pPr>
      <w:r>
        <w:rPr>
          <w:rFonts w:ascii="Arial" w:eastAsia="Arial" w:hAnsi="Arial" w:cs="Arial"/>
          <w:b/>
          <w:sz w:val="24"/>
          <w:szCs w:val="24"/>
        </w:rPr>
        <w:t>Procedure:</w:t>
      </w:r>
      <w:r>
        <w:rPr>
          <w:rFonts w:ascii="Arial" w:eastAsia="Arial" w:hAnsi="Arial" w:cs="Arial"/>
          <w:sz w:val="24"/>
          <w:szCs w:val="24"/>
        </w:rPr>
        <w:t xml:space="preserve"> </w:t>
      </w:r>
    </w:p>
    <w:p w:rsidR="005559AF" w:rsidRDefault="00D85B7A">
      <w:pPr>
        <w:numPr>
          <w:ilvl w:val="0"/>
          <w:numId w:val="1"/>
        </w:numPr>
        <w:spacing w:before="200"/>
        <w:rPr>
          <w:rFonts w:ascii="Arial" w:eastAsia="Arial" w:hAnsi="Arial" w:cs="Arial"/>
          <w:b/>
          <w:sz w:val="24"/>
          <w:szCs w:val="24"/>
        </w:rPr>
      </w:pPr>
      <w:r>
        <w:rPr>
          <w:rFonts w:ascii="Arial" w:eastAsia="Arial" w:hAnsi="Arial" w:cs="Arial"/>
          <w:b/>
          <w:sz w:val="24"/>
          <w:szCs w:val="24"/>
        </w:rPr>
        <w:t>Consider Your Students</w:t>
      </w:r>
    </w:p>
    <w:p w:rsidR="005559AF" w:rsidRDefault="00D85B7A">
      <w:pPr>
        <w:numPr>
          <w:ilvl w:val="1"/>
          <w:numId w:val="1"/>
        </w:numPr>
        <w:spacing w:before="200"/>
        <w:rPr>
          <w:rFonts w:ascii="Arial" w:eastAsia="Arial" w:hAnsi="Arial" w:cs="Arial"/>
          <w:sz w:val="24"/>
          <w:szCs w:val="24"/>
        </w:rPr>
      </w:pPr>
      <w:r>
        <w:rPr>
          <w:rFonts w:ascii="Arial" w:eastAsia="Arial" w:hAnsi="Arial" w:cs="Arial"/>
          <w:sz w:val="24"/>
          <w:szCs w:val="24"/>
        </w:rPr>
        <w:t xml:space="preserve">Many learners have bias towards different kinds of activities. If the students are smart, but seem to not understand explanations, these kinds of activities can help them understand English better. Provided the time and space are </w:t>
      </w:r>
      <w:proofErr w:type="gramStart"/>
      <w:r>
        <w:rPr>
          <w:rFonts w:ascii="Arial" w:eastAsia="Arial" w:hAnsi="Arial" w:cs="Arial"/>
          <w:sz w:val="24"/>
          <w:szCs w:val="24"/>
        </w:rPr>
        <w:t>available</w:t>
      </w:r>
      <w:proofErr w:type="gramEnd"/>
      <w:r>
        <w:rPr>
          <w:rFonts w:ascii="Arial" w:eastAsia="Arial" w:hAnsi="Arial" w:cs="Arial"/>
          <w:sz w:val="24"/>
          <w:szCs w:val="24"/>
        </w:rPr>
        <w:t xml:space="preserve">, </w:t>
      </w:r>
      <w:proofErr w:type="spellStart"/>
      <w:r>
        <w:rPr>
          <w:rFonts w:ascii="Arial" w:eastAsia="Arial" w:hAnsi="Arial" w:cs="Arial"/>
          <w:sz w:val="24"/>
          <w:szCs w:val="24"/>
        </w:rPr>
        <w:t>Kinesthetics</w:t>
      </w:r>
      <w:proofErr w:type="spellEnd"/>
      <w:r>
        <w:rPr>
          <w:rFonts w:ascii="Arial" w:eastAsia="Arial" w:hAnsi="Arial" w:cs="Arial"/>
          <w:sz w:val="24"/>
          <w:szCs w:val="24"/>
        </w:rPr>
        <w:t xml:space="preserve"> are a valuable tool.</w:t>
      </w:r>
    </w:p>
    <w:p w:rsidR="005559AF" w:rsidRDefault="00D85B7A">
      <w:pPr>
        <w:numPr>
          <w:ilvl w:val="2"/>
          <w:numId w:val="1"/>
        </w:numPr>
        <w:spacing w:before="200"/>
        <w:rPr>
          <w:rFonts w:ascii="Arial" w:eastAsia="Arial" w:hAnsi="Arial" w:cs="Arial"/>
          <w:sz w:val="24"/>
          <w:szCs w:val="24"/>
        </w:rPr>
      </w:pPr>
      <w:r>
        <w:rPr>
          <w:rFonts w:ascii="Arial" w:eastAsia="Arial" w:hAnsi="Arial" w:cs="Arial"/>
          <w:sz w:val="24"/>
          <w:szCs w:val="24"/>
        </w:rPr>
        <w:t>Ex. The Sixth Grade Class at school has some students who have been thriving in classroom lessons every day, but many of them are disengaged or seem to totally misunderstand lessons. They are often fidgeting and getting up during class.</w:t>
      </w:r>
    </w:p>
    <w:p w:rsidR="005559AF" w:rsidRDefault="00D85B7A">
      <w:pPr>
        <w:numPr>
          <w:ilvl w:val="0"/>
          <w:numId w:val="1"/>
        </w:numPr>
        <w:spacing w:before="200"/>
        <w:rPr>
          <w:rFonts w:ascii="Arial" w:eastAsia="Arial" w:hAnsi="Arial" w:cs="Arial"/>
          <w:b/>
          <w:sz w:val="24"/>
          <w:szCs w:val="24"/>
        </w:rPr>
      </w:pPr>
      <w:r>
        <w:rPr>
          <w:rFonts w:ascii="Arial" w:eastAsia="Arial" w:hAnsi="Arial" w:cs="Arial"/>
          <w:b/>
          <w:sz w:val="24"/>
          <w:szCs w:val="24"/>
        </w:rPr>
        <w:t>Consider Your Content</w:t>
      </w:r>
    </w:p>
    <w:p w:rsidR="005559AF" w:rsidRDefault="00D85B7A">
      <w:pPr>
        <w:numPr>
          <w:ilvl w:val="1"/>
          <w:numId w:val="1"/>
        </w:numPr>
        <w:spacing w:before="200"/>
        <w:rPr>
          <w:rFonts w:ascii="Arial" w:eastAsia="Arial" w:hAnsi="Arial" w:cs="Arial"/>
          <w:sz w:val="24"/>
          <w:szCs w:val="24"/>
        </w:rPr>
      </w:pPr>
      <w:r>
        <w:rPr>
          <w:rFonts w:ascii="Arial" w:eastAsia="Arial" w:hAnsi="Arial" w:cs="Arial"/>
          <w:sz w:val="24"/>
          <w:szCs w:val="24"/>
        </w:rPr>
        <w:t>A Kinesthetic Lesson is helpful for many cases, but some grammar or lessons may be difficult to adapt to this style. As a general rule of thumb, it’s not good to introduce new concepts this way, and it loses some effectiveness on grammar that is too complicated.</w:t>
      </w:r>
    </w:p>
    <w:p w:rsidR="005559AF" w:rsidRDefault="00D85B7A">
      <w:pPr>
        <w:numPr>
          <w:ilvl w:val="1"/>
          <w:numId w:val="1"/>
        </w:numPr>
        <w:spacing w:before="200"/>
        <w:rPr>
          <w:rFonts w:ascii="Arial" w:eastAsia="Arial" w:hAnsi="Arial" w:cs="Arial"/>
          <w:sz w:val="24"/>
          <w:szCs w:val="24"/>
        </w:rPr>
      </w:pPr>
      <w:r>
        <w:rPr>
          <w:rFonts w:ascii="Arial" w:eastAsia="Arial" w:hAnsi="Arial" w:cs="Arial"/>
          <w:sz w:val="24"/>
          <w:szCs w:val="24"/>
        </w:rPr>
        <w:t>Kinesthetic Lessons are best used for testing comprehension as opposed to composition. So long as the students are given clear input to follow, kinesthetic lessons are worth consideration.</w:t>
      </w:r>
    </w:p>
    <w:p w:rsidR="005559AF" w:rsidRDefault="00D85B7A">
      <w:pPr>
        <w:numPr>
          <w:ilvl w:val="2"/>
          <w:numId w:val="1"/>
        </w:numPr>
        <w:spacing w:before="200"/>
        <w:rPr>
          <w:rFonts w:ascii="Arial" w:eastAsia="Arial" w:hAnsi="Arial" w:cs="Arial"/>
          <w:sz w:val="24"/>
          <w:szCs w:val="24"/>
        </w:rPr>
      </w:pPr>
      <w:r>
        <w:rPr>
          <w:rFonts w:ascii="Arial" w:eastAsia="Arial" w:hAnsi="Arial" w:cs="Arial"/>
          <w:i/>
          <w:sz w:val="24"/>
          <w:szCs w:val="24"/>
        </w:rPr>
        <w:t>Ex</w:t>
      </w:r>
      <w:r>
        <w:rPr>
          <w:rFonts w:ascii="Arial" w:eastAsia="Arial" w:hAnsi="Arial" w:cs="Arial"/>
          <w:sz w:val="24"/>
          <w:szCs w:val="24"/>
        </w:rPr>
        <w:t>. For a review of colors, the teacher posts colors around the gym and has the students run to them as they’re called out. The teacher assigns one or two students as warders to tag the students as they attempt to run to each new color.</w:t>
      </w:r>
    </w:p>
    <w:p w:rsidR="0009150A" w:rsidRDefault="0009150A" w:rsidP="0009150A">
      <w:pPr>
        <w:spacing w:before="200"/>
        <w:ind w:left="2160"/>
        <w:rPr>
          <w:rFonts w:ascii="Arial" w:eastAsia="Arial" w:hAnsi="Arial" w:cs="Arial"/>
          <w:i/>
          <w:sz w:val="24"/>
          <w:szCs w:val="24"/>
        </w:rPr>
      </w:pPr>
    </w:p>
    <w:p w:rsidR="0009150A" w:rsidRDefault="0009150A" w:rsidP="0009150A">
      <w:pPr>
        <w:spacing w:before="200"/>
        <w:ind w:left="2160"/>
        <w:rPr>
          <w:rFonts w:ascii="Arial" w:eastAsia="Arial" w:hAnsi="Arial" w:cs="Arial"/>
          <w:sz w:val="24"/>
          <w:szCs w:val="24"/>
        </w:rPr>
      </w:pPr>
    </w:p>
    <w:p w:rsidR="005559AF" w:rsidRDefault="00D85B7A">
      <w:pPr>
        <w:numPr>
          <w:ilvl w:val="0"/>
          <w:numId w:val="1"/>
        </w:numPr>
        <w:spacing w:before="200"/>
        <w:rPr>
          <w:rFonts w:ascii="Arial" w:eastAsia="Arial" w:hAnsi="Arial" w:cs="Arial"/>
          <w:b/>
          <w:sz w:val="24"/>
          <w:szCs w:val="24"/>
        </w:rPr>
      </w:pPr>
      <w:r>
        <w:rPr>
          <w:rFonts w:ascii="Arial" w:eastAsia="Arial" w:hAnsi="Arial" w:cs="Arial"/>
          <w:b/>
          <w:sz w:val="24"/>
          <w:szCs w:val="24"/>
        </w:rPr>
        <w:lastRenderedPageBreak/>
        <w:t>Consider Your Available Space and Equipment</w:t>
      </w:r>
    </w:p>
    <w:p w:rsidR="005559AF" w:rsidRDefault="00D85B7A">
      <w:pPr>
        <w:numPr>
          <w:ilvl w:val="1"/>
          <w:numId w:val="1"/>
        </w:numPr>
        <w:spacing w:before="200"/>
        <w:rPr>
          <w:rFonts w:ascii="Arial" w:eastAsia="Arial" w:hAnsi="Arial" w:cs="Arial"/>
          <w:sz w:val="24"/>
          <w:szCs w:val="24"/>
        </w:rPr>
      </w:pPr>
      <w:r>
        <w:rPr>
          <w:rFonts w:ascii="Arial" w:eastAsia="Arial" w:hAnsi="Arial" w:cs="Arial"/>
          <w:sz w:val="24"/>
          <w:szCs w:val="24"/>
        </w:rPr>
        <w:t xml:space="preserve">When making an activity, managing space for the students to move around is key. If the class only has a small space, it might be best for teachers to have students play in small teams and rotate them often while others sit, like lining the vocabulary up on the board and having students read the vocab starting from opposite ends as fast as possible. On the other hand, with a really big space, the ALT can use balls or signs to set places for the students to run towards or away from, such as setting multiple choice answers in different parts of the gym and having the </w:t>
      </w:r>
      <w:proofErr w:type="gramStart"/>
      <w:r>
        <w:rPr>
          <w:rFonts w:ascii="Arial" w:eastAsia="Arial" w:hAnsi="Arial" w:cs="Arial"/>
          <w:sz w:val="24"/>
          <w:szCs w:val="24"/>
        </w:rPr>
        <w:t>students</w:t>
      </w:r>
      <w:proofErr w:type="gramEnd"/>
      <w:r>
        <w:rPr>
          <w:rFonts w:ascii="Arial" w:eastAsia="Arial" w:hAnsi="Arial" w:cs="Arial"/>
          <w:sz w:val="24"/>
          <w:szCs w:val="24"/>
        </w:rPr>
        <w:t xml:space="preserve"> race to the correct answer for a point, with a bonus point for the first one. </w:t>
      </w:r>
    </w:p>
    <w:p w:rsidR="005559AF" w:rsidRDefault="00D85B7A">
      <w:pPr>
        <w:numPr>
          <w:ilvl w:val="2"/>
          <w:numId w:val="1"/>
        </w:numPr>
        <w:spacing w:before="200"/>
        <w:rPr>
          <w:rFonts w:ascii="Arial" w:eastAsia="Arial" w:hAnsi="Arial" w:cs="Arial"/>
          <w:sz w:val="24"/>
          <w:szCs w:val="24"/>
        </w:rPr>
      </w:pPr>
      <w:r>
        <w:rPr>
          <w:rFonts w:ascii="Arial" w:eastAsia="Arial" w:hAnsi="Arial" w:cs="Arial"/>
          <w:i/>
          <w:sz w:val="24"/>
          <w:szCs w:val="24"/>
        </w:rPr>
        <w:t>Ex.</w:t>
      </w:r>
      <w:r>
        <w:rPr>
          <w:rFonts w:ascii="Arial" w:eastAsia="Arial" w:hAnsi="Arial" w:cs="Arial"/>
          <w:sz w:val="24"/>
          <w:szCs w:val="24"/>
        </w:rPr>
        <w:t xml:space="preserve"> The gym is available for use on the day of the lesson. There is also a color printer to make small signs and some basketballs and hoops available. These can make for an effective multiple choice game, a sentence relay where the students have to retrieve the “word” signs for a sentence.</w:t>
      </w:r>
    </w:p>
    <w:p w:rsidR="005559AF" w:rsidRDefault="00D85B7A">
      <w:pPr>
        <w:numPr>
          <w:ilvl w:val="0"/>
          <w:numId w:val="1"/>
        </w:numPr>
        <w:spacing w:before="200"/>
        <w:rPr>
          <w:rFonts w:ascii="Arial" w:eastAsia="Arial" w:hAnsi="Arial" w:cs="Arial"/>
          <w:b/>
          <w:sz w:val="24"/>
          <w:szCs w:val="24"/>
        </w:rPr>
      </w:pPr>
      <w:r>
        <w:rPr>
          <w:rFonts w:ascii="Arial" w:eastAsia="Arial" w:hAnsi="Arial" w:cs="Arial"/>
          <w:sz w:val="24"/>
          <w:szCs w:val="24"/>
        </w:rPr>
        <w:t xml:space="preserve"> </w:t>
      </w:r>
      <w:r>
        <w:rPr>
          <w:rFonts w:ascii="Arial" w:eastAsia="Arial" w:hAnsi="Arial" w:cs="Arial"/>
          <w:b/>
          <w:sz w:val="24"/>
          <w:szCs w:val="24"/>
        </w:rPr>
        <w:t>Consider Your Procedure</w:t>
      </w:r>
    </w:p>
    <w:p w:rsidR="005559AF" w:rsidRDefault="00D85B7A">
      <w:pPr>
        <w:numPr>
          <w:ilvl w:val="1"/>
          <w:numId w:val="1"/>
        </w:numPr>
        <w:spacing w:before="200"/>
        <w:rPr>
          <w:rFonts w:ascii="Arial" w:eastAsia="Arial" w:hAnsi="Arial" w:cs="Arial"/>
          <w:sz w:val="24"/>
          <w:szCs w:val="24"/>
        </w:rPr>
      </w:pPr>
      <w:r>
        <w:rPr>
          <w:rFonts w:ascii="Arial" w:eastAsia="Arial" w:hAnsi="Arial" w:cs="Arial"/>
          <w:sz w:val="24"/>
          <w:szCs w:val="24"/>
        </w:rPr>
        <w:t>When making a Kinesthetic Activity, consider how to represent the grammar in the activity itself. It’s best to mirror the construction of the sentence with the relevant grammar to the main action of the game.</w:t>
      </w:r>
    </w:p>
    <w:p w:rsidR="005559AF" w:rsidRDefault="00D85B7A">
      <w:pPr>
        <w:numPr>
          <w:ilvl w:val="2"/>
          <w:numId w:val="1"/>
        </w:numPr>
        <w:spacing w:before="200"/>
        <w:rPr>
          <w:rFonts w:ascii="Arial" w:eastAsia="Arial" w:hAnsi="Arial" w:cs="Arial"/>
          <w:sz w:val="24"/>
          <w:szCs w:val="24"/>
        </w:rPr>
      </w:pPr>
      <w:r>
        <w:rPr>
          <w:rFonts w:ascii="Arial" w:eastAsia="Arial" w:hAnsi="Arial" w:cs="Arial"/>
          <w:i/>
          <w:sz w:val="24"/>
          <w:szCs w:val="24"/>
        </w:rPr>
        <w:t>Ex.</w:t>
      </w:r>
      <w:r>
        <w:rPr>
          <w:rFonts w:ascii="Arial" w:eastAsia="Arial" w:hAnsi="Arial" w:cs="Arial"/>
          <w:sz w:val="24"/>
          <w:szCs w:val="24"/>
        </w:rPr>
        <w:t xml:space="preserve"> To practice word order, the teacher gives the students signs representing the relevant sentence parts and has them rearrange themselves in order.</w:t>
      </w:r>
    </w:p>
    <w:p w:rsidR="005559AF" w:rsidRDefault="00D85B7A">
      <w:pPr>
        <w:numPr>
          <w:ilvl w:val="2"/>
          <w:numId w:val="1"/>
        </w:numPr>
        <w:spacing w:before="200"/>
        <w:rPr>
          <w:rFonts w:ascii="Arial" w:eastAsia="Arial" w:hAnsi="Arial" w:cs="Arial"/>
          <w:sz w:val="24"/>
          <w:szCs w:val="24"/>
        </w:rPr>
      </w:pPr>
      <w:proofErr w:type="spellStart"/>
      <w:r>
        <w:rPr>
          <w:rFonts w:ascii="Arial" w:eastAsia="Arial" w:hAnsi="Arial" w:cs="Arial"/>
          <w:i/>
          <w:sz w:val="24"/>
          <w:szCs w:val="24"/>
        </w:rPr>
        <w:t>Ex</w:t>
      </w:r>
      <w:r>
        <w:rPr>
          <w:rFonts w:ascii="Arial" w:eastAsia="Arial" w:hAnsi="Arial" w:cs="Arial"/>
          <w:sz w:val="24"/>
          <w:szCs w:val="24"/>
        </w:rPr>
        <w:t>.To</w:t>
      </w:r>
      <w:proofErr w:type="spellEnd"/>
      <w:r>
        <w:rPr>
          <w:rFonts w:ascii="Arial" w:eastAsia="Arial" w:hAnsi="Arial" w:cs="Arial"/>
          <w:sz w:val="24"/>
          <w:szCs w:val="24"/>
        </w:rPr>
        <w:t xml:space="preserve"> practice reading comprehension, the teacher makes multiple choice questions and labels baskets with the answer choices to play multiple choice basketball.</w:t>
      </w:r>
    </w:p>
    <w:p w:rsidR="005559AF" w:rsidRDefault="005559AF" w:rsidP="0009150A">
      <w:pPr>
        <w:spacing w:after="0"/>
        <w:rPr>
          <w:rFonts w:ascii="Arial" w:eastAsia="Arial" w:hAnsi="Arial" w:cs="Arial"/>
          <w:sz w:val="24"/>
          <w:szCs w:val="24"/>
        </w:rPr>
      </w:pPr>
    </w:p>
    <w:p w:rsidR="005559AF" w:rsidRDefault="00D85B7A">
      <w:pPr>
        <w:spacing w:before="200"/>
        <w:rPr>
          <w:rFonts w:ascii="Arial" w:eastAsia="Arial" w:hAnsi="Arial" w:cs="Arial"/>
          <w:b/>
          <w:sz w:val="24"/>
          <w:szCs w:val="24"/>
        </w:rPr>
      </w:pPr>
      <w:r>
        <w:rPr>
          <w:rFonts w:ascii="Arial" w:eastAsia="Arial" w:hAnsi="Arial" w:cs="Arial"/>
          <w:b/>
          <w:sz w:val="24"/>
          <w:szCs w:val="24"/>
        </w:rPr>
        <w:t xml:space="preserve">Additional Information: </w:t>
      </w:r>
    </w:p>
    <w:p w:rsidR="005559AF" w:rsidRDefault="00D85B7A">
      <w:pPr>
        <w:spacing w:before="200"/>
        <w:rPr>
          <w:rFonts w:ascii="Arial" w:eastAsia="Arial" w:hAnsi="Arial" w:cs="Arial"/>
          <w:sz w:val="24"/>
          <w:szCs w:val="24"/>
        </w:rPr>
      </w:pPr>
      <w:r>
        <w:rPr>
          <w:rFonts w:ascii="Arial" w:eastAsia="Arial" w:hAnsi="Arial" w:cs="Arial"/>
          <w:sz w:val="24"/>
          <w:szCs w:val="24"/>
        </w:rPr>
        <w:t>This lesson type is based on the Multiple Intelligences Developmental Theory created by Howard Gardner, a foundational text for most education studies in the West. If you are interested in the other intelligences and how they can relate to your lesson, I would encourage further research. I also have a sample review lesson that I have used in my own classes before linked with a QR Code.</w:t>
      </w:r>
    </w:p>
    <w:p w:rsidR="005559AF" w:rsidRDefault="0009150A">
      <w:pPr>
        <w:spacing w:before="200"/>
        <w:rPr>
          <w:rFonts w:ascii="Arial" w:eastAsia="Arial" w:hAnsi="Arial" w:cs="Arial"/>
          <w:sz w:val="24"/>
          <w:szCs w:val="24"/>
        </w:rPr>
      </w:pPr>
      <w:r>
        <w:rPr>
          <w:noProof/>
        </w:rPr>
        <w:drawing>
          <wp:anchor distT="114300" distB="114300" distL="114300" distR="114300" simplePos="0" relativeHeight="251658240" behindDoc="0" locked="0" layoutInCell="1" hidden="0" allowOverlap="1">
            <wp:simplePos x="0" y="0"/>
            <wp:positionH relativeFrom="column">
              <wp:posOffset>3890010</wp:posOffset>
            </wp:positionH>
            <wp:positionV relativeFrom="paragraph">
              <wp:posOffset>-49530</wp:posOffset>
            </wp:positionV>
            <wp:extent cx="1331491" cy="1331491"/>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331491" cy="1331491"/>
                    </a:xfrm>
                    <a:prstGeom prst="rect">
                      <a:avLst/>
                    </a:prstGeom>
                    <a:ln/>
                  </pic:spPr>
                </pic:pic>
              </a:graphicData>
            </a:graphic>
          </wp:anchor>
        </w:drawing>
      </w:r>
      <w:r w:rsidR="00D85B7A">
        <w:rPr>
          <w:rFonts w:ascii="Arial" w:eastAsia="Arial" w:hAnsi="Arial" w:cs="Arial"/>
          <w:sz w:val="24"/>
          <w:szCs w:val="24"/>
        </w:rPr>
        <w:tab/>
      </w:r>
    </w:p>
    <w:sectPr w:rsidR="005559AF" w:rsidSect="002B017B">
      <w:headerReference w:type="default" r:id="rId9"/>
      <w:footerReference w:type="default" r:id="rId10"/>
      <w:pgSz w:w="11907" w:h="16839" w:code="9"/>
      <w:pgMar w:top="1134" w:right="1134" w:bottom="1134" w:left="1134" w:header="720" w:footer="340" w:gutter="0"/>
      <w:pgNumType w:start="17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4567" w:rsidRDefault="00D85B7A">
      <w:pPr>
        <w:spacing w:after="0" w:line="240" w:lineRule="auto"/>
      </w:pPr>
      <w:r>
        <w:separator/>
      </w:r>
    </w:p>
  </w:endnote>
  <w:endnote w:type="continuationSeparator" w:id="0">
    <w:p w:rsidR="00164567" w:rsidRDefault="00D85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2784786"/>
      <w:docPartObj>
        <w:docPartGallery w:val="Page Numbers (Bottom of Page)"/>
        <w:docPartUnique/>
      </w:docPartObj>
    </w:sdtPr>
    <w:sdtEndPr>
      <w:rPr>
        <w:rFonts w:ascii="Arial" w:hAnsi="Arial" w:cs="Arial"/>
        <w:noProof/>
      </w:rPr>
    </w:sdtEndPr>
    <w:sdtContent>
      <w:p w:rsidR="002B017B" w:rsidRPr="002B017B" w:rsidRDefault="002B017B" w:rsidP="002B017B">
        <w:pPr>
          <w:pStyle w:val="Footer"/>
          <w:jc w:val="center"/>
          <w:rPr>
            <w:rFonts w:ascii="Arial" w:hAnsi="Arial" w:cs="Arial"/>
          </w:rPr>
        </w:pPr>
        <w:r w:rsidRPr="002B017B">
          <w:rPr>
            <w:rFonts w:ascii="Arial" w:hAnsi="Arial" w:cs="Arial"/>
          </w:rPr>
          <w:fldChar w:fldCharType="begin"/>
        </w:r>
        <w:r w:rsidRPr="002B017B">
          <w:rPr>
            <w:rFonts w:ascii="Arial" w:hAnsi="Arial" w:cs="Arial"/>
          </w:rPr>
          <w:instrText xml:space="preserve"> PAGE   \* MERGEFORMAT </w:instrText>
        </w:r>
        <w:r w:rsidRPr="002B017B">
          <w:rPr>
            <w:rFonts w:ascii="Arial" w:hAnsi="Arial" w:cs="Arial"/>
          </w:rPr>
          <w:fldChar w:fldCharType="separate"/>
        </w:r>
        <w:r>
          <w:rPr>
            <w:rFonts w:ascii="Arial" w:hAnsi="Arial" w:cs="Arial"/>
            <w:noProof/>
          </w:rPr>
          <w:t>171</w:t>
        </w:r>
        <w:r w:rsidRPr="002B017B">
          <w:rPr>
            <w:rFonts w:ascii="Arial" w:hAnsi="Arial" w:cs="Arial"/>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4567" w:rsidRDefault="00D85B7A">
      <w:pPr>
        <w:spacing w:after="0" w:line="240" w:lineRule="auto"/>
      </w:pPr>
      <w:r>
        <w:separator/>
      </w:r>
    </w:p>
  </w:footnote>
  <w:footnote w:type="continuationSeparator" w:id="0">
    <w:p w:rsidR="00164567" w:rsidRDefault="00D85B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9AF" w:rsidRDefault="00D85B7A" w:rsidP="002B017B">
    <w:pPr>
      <w:pBdr>
        <w:top w:val="nil"/>
        <w:left w:val="nil"/>
        <w:bottom w:val="nil"/>
        <w:right w:val="nil"/>
        <w:between w:val="nil"/>
      </w:pBdr>
      <w:tabs>
        <w:tab w:val="center" w:pos="4680"/>
        <w:tab w:val="right" w:pos="9360"/>
      </w:tabs>
      <w:spacing w:after="0" w:line="240" w:lineRule="auto"/>
      <w:jc w:val="right"/>
      <w:rPr>
        <w:color w:val="000000"/>
      </w:rPr>
    </w:pPr>
    <w:r>
      <w:t xml:space="preserve">Matthew </w:t>
    </w:r>
    <w:proofErr w:type="spellStart"/>
    <w:r>
      <w:t>Melero</w:t>
    </w:r>
    <w:proofErr w:type="spellEnd"/>
  </w:p>
  <w:p w:rsidR="005559AF" w:rsidRDefault="00D85B7A" w:rsidP="002B017B">
    <w:pPr>
      <w:pBdr>
        <w:top w:val="nil"/>
        <w:left w:val="nil"/>
        <w:bottom w:val="nil"/>
        <w:right w:val="nil"/>
        <w:between w:val="nil"/>
      </w:pBdr>
      <w:tabs>
        <w:tab w:val="center" w:pos="4680"/>
        <w:tab w:val="right" w:pos="9360"/>
      </w:tabs>
      <w:spacing w:after="0" w:line="240" w:lineRule="auto"/>
      <w:jc w:val="right"/>
      <w:rPr>
        <w:color w:val="000000"/>
      </w:rPr>
    </w:pPr>
    <w:r>
      <w:t xml:space="preserve">Konan </w:t>
    </w:r>
    <w:r w:rsidR="0009150A">
      <w:t>ES</w:t>
    </w:r>
  </w:p>
  <w:p w:rsidR="005559AF" w:rsidRDefault="00D85B7A" w:rsidP="002B017B">
    <w:pPr>
      <w:pBdr>
        <w:top w:val="nil"/>
        <w:left w:val="nil"/>
        <w:bottom w:val="nil"/>
        <w:right w:val="nil"/>
        <w:between w:val="nil"/>
      </w:pBdr>
      <w:tabs>
        <w:tab w:val="center" w:pos="4680"/>
        <w:tab w:val="right" w:pos="9360"/>
      </w:tabs>
      <w:spacing w:after="0" w:line="240" w:lineRule="auto"/>
      <w:jc w:val="right"/>
      <w:rPr>
        <w:color w:val="000000"/>
      </w:rPr>
    </w:pPr>
    <w:r>
      <w:t>Teaching Techniques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857400"/>
    <w:multiLevelType w:val="multilevel"/>
    <w:tmpl w:val="0E68F14A"/>
    <w:lvl w:ilvl="0">
      <w:start w:val="1"/>
      <w:numFmt w:val="upperRoman"/>
      <w:lvlText w:val="%1."/>
      <w:lvlJc w:val="right"/>
      <w:pPr>
        <w:ind w:left="720" w:hanging="360"/>
      </w:pPr>
      <w:rPr>
        <w:u w:val="none"/>
      </w:rPr>
    </w:lvl>
    <w:lvl w:ilvl="1">
      <w:start w:val="1"/>
      <w:numFmt w:val="decimal"/>
      <w:lvlText w:val="%2."/>
      <w:lvlJc w:val="left"/>
      <w:pPr>
        <w:ind w:left="1440" w:hanging="360"/>
      </w:pPr>
      <w:rPr>
        <w:u w:val="none"/>
      </w:rPr>
    </w:lvl>
    <w:lvl w:ilvl="2">
      <w:start w:val="1"/>
      <w:numFmt w:val="lowerLetter"/>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9AF"/>
    <w:rsid w:val="0009150A"/>
    <w:rsid w:val="00164567"/>
    <w:rsid w:val="002B017B"/>
    <w:rsid w:val="005559AF"/>
    <w:rsid w:val="00D85B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A8994FA3-8F63-404D-8C14-BC42C3B49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09150A"/>
    <w:pPr>
      <w:tabs>
        <w:tab w:val="center" w:pos="4252"/>
        <w:tab w:val="right" w:pos="8504"/>
      </w:tabs>
      <w:snapToGrid w:val="0"/>
    </w:pPr>
  </w:style>
  <w:style w:type="character" w:customStyle="1" w:styleId="HeaderChar">
    <w:name w:val="Header Char"/>
    <w:basedOn w:val="DefaultParagraphFont"/>
    <w:link w:val="Header"/>
    <w:uiPriority w:val="99"/>
    <w:rsid w:val="0009150A"/>
  </w:style>
  <w:style w:type="paragraph" w:styleId="Footer">
    <w:name w:val="footer"/>
    <w:basedOn w:val="Normal"/>
    <w:link w:val="FooterChar"/>
    <w:uiPriority w:val="99"/>
    <w:unhideWhenUsed/>
    <w:rsid w:val="0009150A"/>
    <w:pPr>
      <w:tabs>
        <w:tab w:val="center" w:pos="4252"/>
        <w:tab w:val="right" w:pos="8504"/>
      </w:tabs>
      <w:snapToGrid w:val="0"/>
    </w:pPr>
  </w:style>
  <w:style w:type="character" w:customStyle="1" w:styleId="FooterChar">
    <w:name w:val="Footer Char"/>
    <w:basedOn w:val="DefaultParagraphFont"/>
    <w:link w:val="Footer"/>
    <w:uiPriority w:val="99"/>
    <w:rsid w:val="000915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RZ+JICtIiDUmofJGoYZbpHCi7Q==">CgMxLjAaJAoBMBIfCh0IB0IZCgVBcmlhbBIQQXJpYWwgVW5pY29kZSBNUxokCgExEh8KHQgHQhkKBUFyaWFsEhBBcmlhbCBVbmljb2RlIE1TGiQKATISHwodCAdCGQoFQXJpYWwSEEFyaWFsIFVuaWNvZGUgTVMaJAoBMxIfCh0IB0IZCgVBcmlhbBIQQXJpYWwgVW5pY29kZSBNUxokCgE0Eh8KHQgHQhkKBUFyaWFsEhBBcmlhbCBVbmljb2RlIE1TMghoLmdqZGd4czgAciExcTQyOU5FbFVTS3dDNEJhLXF2ejY1WmFfempfd3doeT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527</Words>
  <Characters>3009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ALT03</dc:creator>
  <cp:lastModifiedBy>ALT03</cp:lastModifiedBy>
  <cp:revision>4</cp:revision>
  <dcterms:created xsi:type="dcterms:W3CDTF">2024-01-19T00:00:00Z</dcterms:created>
  <dcterms:modified xsi:type="dcterms:W3CDTF">2024-02-01T06:04:00Z</dcterms:modified>
</cp:coreProperties>
</file>